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506" w:rsidRPr="00605059" w:rsidRDefault="00F92506" w:rsidP="00F92506">
      <w:pPr>
        <w:jc w:val="right"/>
        <w:rPr>
          <w:rFonts w:ascii="Sylfaen" w:hAnsi="Sylfaen"/>
        </w:rPr>
      </w:pPr>
      <w:bookmarkStart w:id="0" w:name="_GoBack"/>
      <w:bookmarkEnd w:id="0"/>
      <w:r w:rsidRPr="00605059">
        <w:rPr>
          <w:rFonts w:ascii="Sylfaen" w:hAnsi="Sylfaen"/>
        </w:rPr>
        <w:t>Comisia Electorală Centrală</w:t>
      </w:r>
    </w:p>
    <w:p w:rsidR="00F92506" w:rsidRPr="00605059" w:rsidRDefault="00F92506" w:rsidP="00F92506">
      <w:pPr>
        <w:jc w:val="right"/>
        <w:rPr>
          <w:rFonts w:ascii="Sylfaen" w:hAnsi="Sylfaen"/>
        </w:rPr>
      </w:pPr>
      <w:r w:rsidRPr="00605059">
        <w:rPr>
          <w:rFonts w:ascii="Sylfaen" w:hAnsi="Sylfaen"/>
        </w:rPr>
        <w:t xml:space="preserve">Chişinău, </w:t>
      </w:r>
      <w:r w:rsidR="00605059" w:rsidRPr="00605059">
        <w:rPr>
          <w:rFonts w:ascii="Sylfaen" w:hAnsi="Sylfaen"/>
        </w:rPr>
        <w:t>Vasile Alecsandri 119</w:t>
      </w:r>
    </w:p>
    <w:p w:rsidR="00F675A5" w:rsidRPr="00F92506" w:rsidRDefault="00D6785D" w:rsidP="00F92506">
      <w:pPr>
        <w:pStyle w:val="Titlu1"/>
        <w:jc w:val="center"/>
        <w:rPr>
          <w:rFonts w:ascii="Arial" w:hAnsi="Arial" w:cs="Arial"/>
          <w:sz w:val="24"/>
          <w:szCs w:val="24"/>
        </w:rPr>
      </w:pPr>
      <w:r w:rsidRPr="00F92506">
        <w:rPr>
          <w:rFonts w:ascii="Arial" w:hAnsi="Arial" w:cs="Arial"/>
          <w:sz w:val="24"/>
          <w:szCs w:val="24"/>
        </w:rPr>
        <w:t>Notă de poziție</w:t>
      </w:r>
      <w:r w:rsidR="00181061" w:rsidRPr="00F92506">
        <w:rPr>
          <w:rFonts w:ascii="Arial" w:hAnsi="Arial" w:cs="Arial"/>
          <w:sz w:val="24"/>
          <w:szCs w:val="24"/>
        </w:rPr>
        <w:t xml:space="preserve"> pe marginea </w:t>
      </w:r>
      <w:r w:rsidR="00F92506" w:rsidRPr="00F92506">
        <w:rPr>
          <w:rFonts w:ascii="Arial" w:hAnsi="Arial" w:cs="Arial"/>
          <w:sz w:val="24"/>
          <w:szCs w:val="24"/>
        </w:rPr>
        <w:t>proiectului de modificare și completare a Regulamentului privind înregistrarea prealabilă, aprobat prin hotărârea Comisiei Electorale Centrale nr. 2547 din 21 mai 2014</w:t>
      </w:r>
      <w:r w:rsidR="001E4F05" w:rsidRPr="00F92506">
        <w:rPr>
          <w:rStyle w:val="Referinnotdesubsol"/>
          <w:rFonts w:ascii="Arial" w:hAnsi="Arial" w:cs="Arial"/>
          <w:sz w:val="24"/>
          <w:szCs w:val="24"/>
        </w:rPr>
        <w:footnoteReference w:id="1"/>
      </w:r>
      <w:r w:rsidRPr="00F92506">
        <w:rPr>
          <w:rFonts w:ascii="Arial" w:hAnsi="Arial" w:cs="Arial"/>
          <w:sz w:val="24"/>
          <w:szCs w:val="24"/>
        </w:rPr>
        <w:t>.</w:t>
      </w:r>
    </w:p>
    <w:p w:rsidR="00D6785D" w:rsidRPr="00F92506" w:rsidRDefault="00BE0769" w:rsidP="00D337E8">
      <w:pPr>
        <w:pStyle w:val="Titlu2"/>
        <w:rPr>
          <w:rFonts w:ascii="Arial" w:hAnsi="Arial" w:cs="Arial"/>
          <w:sz w:val="24"/>
          <w:szCs w:val="24"/>
        </w:rPr>
      </w:pPr>
      <w:r>
        <w:rPr>
          <w:rFonts w:ascii="Arial" w:hAnsi="Arial" w:cs="Arial"/>
          <w:sz w:val="24"/>
          <w:szCs w:val="24"/>
        </w:rPr>
        <w:t>Constatări de ordin gen</w:t>
      </w:r>
      <w:r w:rsidR="00F92506">
        <w:rPr>
          <w:rFonts w:ascii="Arial" w:hAnsi="Arial" w:cs="Arial"/>
          <w:sz w:val="24"/>
          <w:szCs w:val="24"/>
        </w:rPr>
        <w:t>eral</w:t>
      </w:r>
      <w:r w:rsidR="00D337E8" w:rsidRPr="00F92506">
        <w:rPr>
          <w:rFonts w:ascii="Arial" w:hAnsi="Arial" w:cs="Arial"/>
          <w:sz w:val="24"/>
          <w:szCs w:val="24"/>
        </w:rPr>
        <w:t>.</w:t>
      </w:r>
    </w:p>
    <w:p w:rsidR="007E3480" w:rsidRDefault="00D337E8" w:rsidP="00F92506">
      <w:pPr>
        <w:jc w:val="both"/>
        <w:rPr>
          <w:rFonts w:ascii="Arial" w:hAnsi="Arial" w:cs="Arial"/>
          <w:sz w:val="24"/>
          <w:szCs w:val="24"/>
        </w:rPr>
      </w:pPr>
      <w:r w:rsidRPr="00F92506">
        <w:rPr>
          <w:rFonts w:ascii="Arial" w:hAnsi="Arial" w:cs="Arial"/>
          <w:sz w:val="24"/>
          <w:szCs w:val="24"/>
        </w:rPr>
        <w:tab/>
      </w:r>
      <w:r w:rsidR="00F92506">
        <w:rPr>
          <w:rFonts w:ascii="Arial" w:hAnsi="Arial" w:cs="Arial"/>
          <w:sz w:val="24"/>
          <w:szCs w:val="24"/>
        </w:rPr>
        <w:t xml:space="preserve">Stimată doamnă Președinte, </w:t>
      </w:r>
      <w:r w:rsidR="00BE0769">
        <w:rPr>
          <w:rFonts w:ascii="Arial" w:hAnsi="Arial" w:cs="Arial"/>
          <w:sz w:val="24"/>
          <w:szCs w:val="24"/>
        </w:rPr>
        <w:t xml:space="preserve">în contextul consultărilor publice anunțate pe marginea proiectului de modificare și completarea al </w:t>
      </w:r>
      <w:r w:rsidR="003B4AC4">
        <w:rPr>
          <w:rFonts w:ascii="Arial" w:hAnsi="Arial" w:cs="Arial"/>
          <w:sz w:val="24"/>
          <w:szCs w:val="24"/>
        </w:rPr>
        <w:t>Regulamentului privind înregistrarea prealabilă</w:t>
      </w:r>
      <w:r w:rsidR="003B4AC4">
        <w:rPr>
          <w:rStyle w:val="Referinnotdesubsol"/>
          <w:rFonts w:ascii="Arial" w:hAnsi="Arial" w:cs="Arial"/>
          <w:sz w:val="24"/>
          <w:szCs w:val="24"/>
        </w:rPr>
        <w:footnoteReference w:id="2"/>
      </w:r>
      <w:r w:rsidR="00C05996">
        <w:rPr>
          <w:rFonts w:ascii="Arial" w:hAnsi="Arial" w:cs="Arial"/>
          <w:sz w:val="24"/>
          <w:szCs w:val="24"/>
        </w:rPr>
        <w:t xml:space="preserve"> (în continuare Regulament)</w:t>
      </w:r>
      <w:r w:rsidR="003B4AC4">
        <w:rPr>
          <w:rFonts w:ascii="Arial" w:hAnsi="Arial" w:cs="Arial"/>
          <w:sz w:val="24"/>
          <w:szCs w:val="24"/>
        </w:rPr>
        <w:t xml:space="preserve">, </w:t>
      </w:r>
      <w:r w:rsidR="001022ED">
        <w:rPr>
          <w:rFonts w:ascii="Arial" w:hAnsi="Arial" w:cs="Arial"/>
          <w:sz w:val="24"/>
          <w:szCs w:val="24"/>
        </w:rPr>
        <w:t>vă prezint mai jos o seri</w:t>
      </w:r>
      <w:r w:rsidR="008F062A">
        <w:rPr>
          <w:rFonts w:ascii="Arial" w:hAnsi="Arial" w:cs="Arial"/>
          <w:sz w:val="24"/>
          <w:szCs w:val="24"/>
        </w:rPr>
        <w:t>e</w:t>
      </w:r>
      <w:r w:rsidR="001022ED">
        <w:rPr>
          <w:rFonts w:ascii="Arial" w:hAnsi="Arial" w:cs="Arial"/>
          <w:sz w:val="24"/>
          <w:szCs w:val="24"/>
        </w:rPr>
        <w:t xml:space="preserve"> de observații și propuneri.</w:t>
      </w:r>
    </w:p>
    <w:p w:rsidR="001022ED" w:rsidRDefault="001022ED" w:rsidP="003C1554">
      <w:pPr>
        <w:ind w:firstLine="720"/>
        <w:jc w:val="both"/>
        <w:rPr>
          <w:rFonts w:ascii="Arial" w:hAnsi="Arial" w:cs="Arial"/>
          <w:sz w:val="24"/>
          <w:szCs w:val="24"/>
        </w:rPr>
      </w:pPr>
      <w:r>
        <w:rPr>
          <w:rFonts w:ascii="Arial" w:hAnsi="Arial" w:cs="Arial"/>
          <w:sz w:val="24"/>
          <w:szCs w:val="24"/>
        </w:rPr>
        <w:t>În primul rând, țin să salut expunerea pentru consultări publice a proiectului menționat, în conformitate cu prevederile legislației privind transparența în procesul decizional. Subiectul facilitării accesului cetățenilor din Diaspora la exercitarea dreptului la vot este indiscutabil unul de o importanță foarte mare și foarte sensibil, ceea ce presupune mediatizarea și dezbaterea comprehensive a soluțiilor regulatorii propuse.</w:t>
      </w:r>
    </w:p>
    <w:p w:rsidR="003C1554" w:rsidRDefault="003C1554" w:rsidP="003C1554">
      <w:pPr>
        <w:ind w:firstLine="720"/>
        <w:jc w:val="both"/>
        <w:rPr>
          <w:rFonts w:ascii="Arial" w:hAnsi="Arial" w:cs="Arial"/>
          <w:sz w:val="24"/>
          <w:szCs w:val="24"/>
        </w:rPr>
      </w:pPr>
      <w:r>
        <w:rPr>
          <w:rFonts w:ascii="Arial" w:hAnsi="Arial" w:cs="Arial"/>
          <w:sz w:val="24"/>
          <w:szCs w:val="24"/>
        </w:rPr>
        <w:t xml:space="preserve">Pe lângă aceasta, salut introducerea printre prevederile proiectului nou a unor principii și proceduri care se regăsesc și în propunerile pe care le-am înaintat mai devreme. Anume – introducerea caracterului permanent al secțiilor de votare deschise peste hotare în afara sediilor reprezentanțelor diplomatice. Implementarea mecanismului prin care CEC decide deschiderea unei noi secții de votare în baza unui număr minim de cereri venite din partea cetățenilor aflați în diaspora, este o inovație necesară și logică. Anume acest mecanism va oferi în sfârșit o utilitate practică procedurii de înregistrare prealabilă, influențând deschiderea secțiilor de votare, așa cum o prevede Codul Electoral. </w:t>
      </w:r>
    </w:p>
    <w:p w:rsidR="003C1554" w:rsidRDefault="003C1554" w:rsidP="003C1554">
      <w:pPr>
        <w:ind w:firstLine="720"/>
        <w:jc w:val="both"/>
        <w:rPr>
          <w:rFonts w:ascii="Arial" w:hAnsi="Arial" w:cs="Arial"/>
          <w:sz w:val="24"/>
          <w:szCs w:val="24"/>
        </w:rPr>
      </w:pPr>
      <w:r>
        <w:rPr>
          <w:rFonts w:ascii="Arial" w:hAnsi="Arial" w:cs="Arial"/>
          <w:sz w:val="24"/>
          <w:szCs w:val="24"/>
        </w:rPr>
        <w:t xml:space="preserve">Suplimentarea procedurii bazate pe pagina </w:t>
      </w:r>
      <w:hyperlink r:id="rId9" w:history="1">
        <w:r w:rsidRPr="004B4ECD">
          <w:rPr>
            <w:rStyle w:val="Hyperlink"/>
            <w:rFonts w:ascii="Arial" w:hAnsi="Arial" w:cs="Arial"/>
            <w:sz w:val="24"/>
            <w:szCs w:val="24"/>
          </w:rPr>
          <w:t>https://inregistrare.cec.md/</w:t>
        </w:r>
      </w:hyperlink>
      <w:r>
        <w:rPr>
          <w:rFonts w:ascii="Arial" w:hAnsi="Arial" w:cs="Arial"/>
          <w:sz w:val="24"/>
          <w:szCs w:val="24"/>
        </w:rPr>
        <w:t xml:space="preserve"> cu posibilitatea depunerii cererilor în formă scrisă fizică, este și ea una necesară și logică. Lipsa acestei proceduri din varianta inițială a Regulamentului a fost o scăpare stranie, neconformă practicii juridice naționale. </w:t>
      </w:r>
    </w:p>
    <w:p w:rsidR="001022ED" w:rsidRPr="00F92506" w:rsidRDefault="003C1554" w:rsidP="00793BB5">
      <w:pPr>
        <w:ind w:firstLine="720"/>
        <w:jc w:val="both"/>
        <w:rPr>
          <w:rFonts w:ascii="Arial" w:hAnsi="Arial" w:cs="Arial"/>
          <w:bCs/>
          <w:color w:val="333333"/>
          <w:sz w:val="24"/>
          <w:szCs w:val="24"/>
          <w:shd w:val="clear" w:color="auto" w:fill="FFFFFF"/>
        </w:rPr>
      </w:pPr>
      <w:r>
        <w:rPr>
          <w:rFonts w:ascii="Arial" w:hAnsi="Arial" w:cs="Arial"/>
          <w:sz w:val="24"/>
          <w:szCs w:val="24"/>
        </w:rPr>
        <w:t xml:space="preserve">Drept concluzie, este evident că noua formulare a Regulamentului, procedurile și mecanismele noi propuse de către CEC, vor contribui esențial la îmbunătățirea accesului cetățenilor din diaspora la procesul electoral. Prin aprobarea acestui proiect vor fi eliminate numeroase deficiențe în procesul de vot peste hotare constate anterior </w:t>
      </w:r>
      <w:r>
        <w:rPr>
          <w:rFonts w:ascii="Arial" w:hAnsi="Arial" w:cs="Arial"/>
          <w:sz w:val="24"/>
          <w:szCs w:val="24"/>
        </w:rPr>
        <w:lastRenderedPageBreak/>
        <w:t>de observatorii naționali și internaționali, dar și de către Curtea Constituțională a Republicii Moldova.</w:t>
      </w:r>
    </w:p>
    <w:p w:rsidR="007E3480" w:rsidRPr="00F92506" w:rsidRDefault="007E3480" w:rsidP="007E3480">
      <w:pPr>
        <w:pStyle w:val="Titlu2"/>
        <w:rPr>
          <w:rFonts w:ascii="Arial" w:hAnsi="Arial" w:cs="Arial"/>
          <w:sz w:val="24"/>
          <w:szCs w:val="24"/>
          <w:shd w:val="clear" w:color="auto" w:fill="FFFFFF"/>
        </w:rPr>
      </w:pPr>
      <w:r w:rsidRPr="00F92506">
        <w:rPr>
          <w:rFonts w:ascii="Arial" w:hAnsi="Arial" w:cs="Arial"/>
          <w:sz w:val="24"/>
          <w:szCs w:val="24"/>
          <w:shd w:val="clear" w:color="auto" w:fill="FFFFFF"/>
        </w:rPr>
        <w:t>Propuneri.</w:t>
      </w:r>
    </w:p>
    <w:p w:rsidR="005E0E32" w:rsidRPr="007D0C4B" w:rsidRDefault="00C05996" w:rsidP="007D0C4B">
      <w:pPr>
        <w:pStyle w:val="Listparagraf"/>
        <w:numPr>
          <w:ilvl w:val="0"/>
          <w:numId w:val="6"/>
        </w:numPr>
        <w:ind w:left="630" w:hanging="630"/>
        <w:jc w:val="both"/>
        <w:rPr>
          <w:rFonts w:ascii="Arial" w:hAnsi="Arial" w:cs="Arial"/>
          <w:sz w:val="24"/>
          <w:szCs w:val="24"/>
          <w:shd w:val="clear" w:color="auto" w:fill="FFFFFF"/>
        </w:rPr>
      </w:pPr>
      <w:r w:rsidRPr="007D0C4B">
        <w:rPr>
          <w:rFonts w:ascii="Arial" w:hAnsi="Arial" w:cs="Arial"/>
          <w:sz w:val="24"/>
          <w:szCs w:val="24"/>
          <w:shd w:val="clear" w:color="auto" w:fill="FFFFFF"/>
        </w:rPr>
        <w:t>Având în vedere noul concept, ar fi deosebit de util ca proiectul</w:t>
      </w:r>
      <w:r w:rsidR="000B3530" w:rsidRPr="007D0C4B">
        <w:rPr>
          <w:rFonts w:ascii="Arial" w:hAnsi="Arial" w:cs="Arial"/>
          <w:sz w:val="24"/>
          <w:szCs w:val="24"/>
          <w:shd w:val="clear" w:color="auto" w:fill="FFFFFF"/>
        </w:rPr>
        <w:t xml:space="preserve"> de completare a Regulamentului să conțină și un punct distinct prin care o subdiviziune special desemnată din cadrul CEC va fi responsabilă pentru sistematizarea tuturor cererilor (în formă electronică și fizică). În cadrul acestui punct va fi indicată obligațiunea asumată de CEC de a publica cel puțin săptămânal pe pagina </w:t>
      </w:r>
      <w:hyperlink r:id="rId10" w:history="1">
        <w:r w:rsidR="000B3530" w:rsidRPr="007D0C4B">
          <w:rPr>
            <w:rStyle w:val="Hyperlink"/>
            <w:rFonts w:ascii="Arial" w:hAnsi="Arial" w:cs="Arial"/>
            <w:sz w:val="24"/>
            <w:szCs w:val="24"/>
            <w:shd w:val="clear" w:color="auto" w:fill="FFFFFF"/>
          </w:rPr>
          <w:t>https://inregistrare.cec.md/Statistics</w:t>
        </w:r>
      </w:hyperlink>
      <w:r w:rsidR="000B3530" w:rsidRPr="007D0C4B">
        <w:rPr>
          <w:rFonts w:ascii="Arial" w:hAnsi="Arial" w:cs="Arial"/>
          <w:sz w:val="24"/>
          <w:szCs w:val="24"/>
          <w:shd w:val="clear" w:color="auto" w:fill="FFFFFF"/>
        </w:rPr>
        <w:t xml:space="preserve"> numărul total de alegători înregistrați pe țări și localități</w:t>
      </w:r>
      <w:r w:rsidR="004F7D15">
        <w:rPr>
          <w:rFonts w:ascii="Arial" w:hAnsi="Arial" w:cs="Arial"/>
          <w:sz w:val="24"/>
          <w:szCs w:val="24"/>
          <w:shd w:val="clear" w:color="auto" w:fill="FFFFFF"/>
        </w:rPr>
        <w:t>/sectoare</w:t>
      </w:r>
      <w:r w:rsidR="000B3530" w:rsidRPr="007D0C4B">
        <w:rPr>
          <w:rFonts w:ascii="Arial" w:hAnsi="Arial" w:cs="Arial"/>
          <w:sz w:val="24"/>
          <w:szCs w:val="24"/>
          <w:shd w:val="clear" w:color="auto" w:fill="FFFFFF"/>
        </w:rPr>
        <w:t>.</w:t>
      </w:r>
    </w:p>
    <w:p w:rsidR="000B3530" w:rsidRDefault="000B3530" w:rsidP="000B3530">
      <w:pPr>
        <w:pStyle w:val="Citatintens"/>
      </w:pPr>
      <w:r>
        <w:rPr>
          <w:shd w:val="clear" w:color="auto" w:fill="FFFFFF"/>
        </w:rPr>
        <w:tab/>
        <w:t>Comentariu</w:t>
      </w:r>
    </w:p>
    <w:p w:rsidR="000B3530" w:rsidRPr="005235D4" w:rsidRDefault="000B3530" w:rsidP="000B3530">
      <w:pPr>
        <w:tabs>
          <w:tab w:val="left" w:pos="1440"/>
        </w:tabs>
        <w:ind w:left="936"/>
        <w:jc w:val="both"/>
        <w:rPr>
          <w:rFonts w:ascii="Arial" w:hAnsi="Arial" w:cs="Arial"/>
          <w:i/>
          <w:sz w:val="24"/>
          <w:szCs w:val="24"/>
        </w:rPr>
      </w:pPr>
      <w:r>
        <w:tab/>
      </w:r>
      <w:r w:rsidRPr="005235D4">
        <w:rPr>
          <w:rFonts w:ascii="Arial" w:hAnsi="Arial" w:cs="Arial"/>
          <w:i/>
          <w:sz w:val="24"/>
          <w:szCs w:val="24"/>
        </w:rPr>
        <w:t>Astfel de procedură va permite cetățenilor să se organizeze mai eficient, să se decidă modificarea locației solicitate pe o altă localitate apropiată, în cazul neacumulării în localitatea pentru care au optat inițial a unui număr suficient de 300 cereri, necesare deschiderii unei noi secții de vot.</w:t>
      </w:r>
    </w:p>
    <w:p w:rsidR="007D0C4B" w:rsidRDefault="007D0C4B" w:rsidP="007D0C4B">
      <w:pPr>
        <w:pStyle w:val="Listparagraf"/>
        <w:numPr>
          <w:ilvl w:val="0"/>
          <w:numId w:val="6"/>
        </w:numPr>
        <w:tabs>
          <w:tab w:val="left" w:pos="630"/>
        </w:tabs>
        <w:ind w:left="630" w:hanging="630"/>
        <w:jc w:val="both"/>
        <w:rPr>
          <w:rFonts w:ascii="Arial" w:hAnsi="Arial" w:cs="Arial"/>
          <w:sz w:val="24"/>
          <w:szCs w:val="24"/>
        </w:rPr>
      </w:pPr>
      <w:r>
        <w:rPr>
          <w:rFonts w:ascii="Arial" w:hAnsi="Arial" w:cs="Arial"/>
          <w:sz w:val="24"/>
          <w:szCs w:val="24"/>
        </w:rPr>
        <w:t>Deoarece este introdus caracterul permanent al secțiilor de votare peste hotare, ar  fi util un mecanism de prevenire a irosirii banului public prin menținerea unui număr prea mare de secții de votare care să nu fie solicitate. Este cunoscut că cetățenii din diaspora pot fi destul de mobili, astfel unele în unele localități numărul de cetățeni moldoveni ar putea scădea de la un ciclu electoral la altul. Astfel, ar fi util un punct nou în regulament care să instituie și mecanismul de închidere a secțiilor de votare permanente peste hotare. Astfel, în cazul în care timp de 2 scrutine parlamentare/prezidențiale consecutive la secția de votare de peste hotare, deschisă în afara misiunilor diplomatice au votat mai puțin decât 50% dintre minimul de cetățeni necesari pentru a o deschide, aceasta va fi închisă.</w:t>
      </w:r>
    </w:p>
    <w:p w:rsidR="00A639AB" w:rsidRDefault="00A639AB" w:rsidP="00A639AB">
      <w:pPr>
        <w:pStyle w:val="Citatintens"/>
        <w:ind w:firstLine="504"/>
      </w:pPr>
      <w:r>
        <w:t>Comentariu</w:t>
      </w:r>
    </w:p>
    <w:p w:rsidR="00A639AB" w:rsidRPr="005235D4" w:rsidRDefault="00A639AB" w:rsidP="00A639AB">
      <w:pPr>
        <w:ind w:left="900"/>
        <w:jc w:val="both"/>
        <w:rPr>
          <w:rFonts w:ascii="Arial" w:hAnsi="Arial" w:cs="Arial"/>
          <w:i/>
          <w:sz w:val="24"/>
          <w:szCs w:val="24"/>
        </w:rPr>
      </w:pPr>
      <w:r w:rsidRPr="005235D4">
        <w:rPr>
          <w:rFonts w:ascii="Arial" w:hAnsi="Arial" w:cs="Arial"/>
          <w:i/>
          <w:sz w:val="24"/>
          <w:szCs w:val="24"/>
        </w:rPr>
        <w:t>Este foarte important să fie luate în calcul doar alegerile, nu și referendumurile, deoarece în cazul celor din urmă neparticiparea poate fi și ea o formă de exprimare a voinței politice a cetățeanului.</w:t>
      </w:r>
    </w:p>
    <w:p w:rsidR="005235D4" w:rsidRDefault="005235D4" w:rsidP="00ED134A">
      <w:pPr>
        <w:pStyle w:val="Listparagraf"/>
        <w:numPr>
          <w:ilvl w:val="0"/>
          <w:numId w:val="6"/>
        </w:numPr>
        <w:ind w:left="630" w:hanging="630"/>
        <w:jc w:val="both"/>
        <w:rPr>
          <w:rFonts w:ascii="Arial" w:hAnsi="Arial" w:cs="Arial"/>
          <w:sz w:val="24"/>
          <w:szCs w:val="24"/>
        </w:rPr>
      </w:pPr>
      <w:r>
        <w:rPr>
          <w:rFonts w:ascii="Arial" w:hAnsi="Arial" w:cs="Arial"/>
          <w:sz w:val="24"/>
          <w:szCs w:val="24"/>
        </w:rPr>
        <w:t>Pentru a evita neconcordanțe în aplicarea diferitor prevederi ale Codului Electoral în ceea ce privește criteriile de deschidere a secțiilor de votare peste hotare, anume: rezultatele prezenței la alegerile precedente și rezultatele înregistrării prealabile, ar fi utilă o diferențiere clară în Regulamentul abordat. În acest sens este important în Regulamentul discutat și în Regulamentul</w:t>
      </w:r>
      <w:r w:rsidRPr="005235D4">
        <w:rPr>
          <w:rFonts w:ascii="Arial" w:hAnsi="Arial" w:cs="Arial"/>
          <w:sz w:val="24"/>
          <w:szCs w:val="24"/>
        </w:rPr>
        <w:t xml:space="preserve"> cu privire la votarea </w:t>
      </w:r>
      <w:r w:rsidRPr="005235D4">
        <w:rPr>
          <w:rFonts w:ascii="Arial" w:hAnsi="Arial" w:cs="Arial"/>
          <w:sz w:val="24"/>
          <w:szCs w:val="24"/>
        </w:rPr>
        <w:lastRenderedPageBreak/>
        <w:t>cetățenilor Republicii Moldova aflați peste hotarele țării, aprobat prin hot</w:t>
      </w:r>
      <w:r>
        <w:rPr>
          <w:rFonts w:ascii="Arial" w:hAnsi="Arial" w:cs="Arial"/>
          <w:sz w:val="24"/>
          <w:szCs w:val="24"/>
        </w:rPr>
        <w:t>ărâ</w:t>
      </w:r>
      <w:r w:rsidRPr="005235D4">
        <w:rPr>
          <w:rFonts w:ascii="Arial" w:hAnsi="Arial" w:cs="Arial"/>
          <w:sz w:val="24"/>
          <w:szCs w:val="24"/>
        </w:rPr>
        <w:t>rea Comisiei Electorale Centrale nr. 3375 din 27 iulie 2010</w:t>
      </w:r>
      <w:r>
        <w:rPr>
          <w:rFonts w:ascii="Arial" w:hAnsi="Arial" w:cs="Arial"/>
          <w:sz w:val="24"/>
          <w:szCs w:val="24"/>
        </w:rPr>
        <w:t xml:space="preserve"> să fie clar stipulat caracterul permanent al secțiilor de votare de peste hotare</w:t>
      </w:r>
      <w:r w:rsidR="00066BB6">
        <w:rPr>
          <w:rFonts w:ascii="Arial" w:hAnsi="Arial" w:cs="Arial"/>
          <w:sz w:val="24"/>
          <w:szCs w:val="24"/>
        </w:rPr>
        <w:t>, cu excepția acelora care au întrunit condițiile pentru a fi închise</w:t>
      </w:r>
      <w:r>
        <w:rPr>
          <w:rFonts w:ascii="Arial" w:hAnsi="Arial" w:cs="Arial"/>
          <w:sz w:val="24"/>
          <w:szCs w:val="24"/>
        </w:rPr>
        <w:t>. T</w:t>
      </w:r>
      <w:r w:rsidR="008B72ED">
        <w:rPr>
          <w:rFonts w:ascii="Arial" w:hAnsi="Arial" w:cs="Arial"/>
          <w:sz w:val="24"/>
          <w:szCs w:val="24"/>
        </w:rPr>
        <w:t>otodată, este important să fie clar stipulat că aplicarea procedurii de înregistrare prealabilă ține de deschiderea unor noi secții de vot doar în localitățile de peste hotare în care acestea încă nu există, iar reglementarea numărul de secții de votare în localitățile în care au mai existat și anterior se va face exclusiv în baza rezultatelor prezenței la scrutinele anterioare. Acest mecanism a fost prezentat anterior, îl voi reitera în calitatea de propunere de completare a proiectului hotărâ</w:t>
      </w:r>
      <w:r w:rsidR="008B72ED" w:rsidRPr="008B72ED">
        <w:rPr>
          <w:rFonts w:ascii="Arial" w:hAnsi="Arial" w:cs="Arial"/>
          <w:sz w:val="24"/>
          <w:szCs w:val="24"/>
        </w:rPr>
        <w:t>rii pentru modificarea și completarea Regulamentului cu privire la votarea cetățenilor Republicii Moldova aflați peste hot</w:t>
      </w:r>
      <w:r w:rsidR="008B72ED">
        <w:rPr>
          <w:rFonts w:ascii="Arial" w:hAnsi="Arial" w:cs="Arial"/>
          <w:sz w:val="24"/>
          <w:szCs w:val="24"/>
        </w:rPr>
        <w:t>arele țării, aprobat prin hotărâ</w:t>
      </w:r>
      <w:r w:rsidR="008B72ED" w:rsidRPr="008B72ED">
        <w:rPr>
          <w:rFonts w:ascii="Arial" w:hAnsi="Arial" w:cs="Arial"/>
          <w:sz w:val="24"/>
          <w:szCs w:val="24"/>
        </w:rPr>
        <w:t>rea Comisiei Electorale Centrale nr. 3375 din 27 iulie 2010</w:t>
      </w:r>
      <w:r w:rsidR="008B72ED">
        <w:rPr>
          <w:rFonts w:ascii="Arial" w:hAnsi="Arial" w:cs="Arial"/>
          <w:sz w:val="24"/>
          <w:szCs w:val="24"/>
        </w:rPr>
        <w:t>.</w:t>
      </w:r>
    </w:p>
    <w:p w:rsidR="004D0A63" w:rsidRDefault="009F7AB7" w:rsidP="009F7AB7">
      <w:pPr>
        <w:pStyle w:val="Listparagraf"/>
        <w:numPr>
          <w:ilvl w:val="0"/>
          <w:numId w:val="6"/>
        </w:numPr>
        <w:ind w:left="630" w:hanging="630"/>
        <w:jc w:val="both"/>
        <w:rPr>
          <w:rFonts w:ascii="Arial" w:hAnsi="Arial" w:cs="Arial"/>
          <w:sz w:val="24"/>
          <w:szCs w:val="24"/>
        </w:rPr>
      </w:pPr>
      <w:r>
        <w:rPr>
          <w:rFonts w:ascii="Arial" w:hAnsi="Arial" w:cs="Arial"/>
          <w:sz w:val="24"/>
          <w:szCs w:val="24"/>
        </w:rPr>
        <w:t xml:space="preserve">O altă recomandare este delimitarea în calitate de opțiuni pentru declararea locului de reședință peste hotare a localității în întregime în </w:t>
      </w:r>
      <w:r w:rsidRPr="009F7AB7">
        <w:rPr>
          <w:rFonts w:ascii="Arial" w:hAnsi="Arial" w:cs="Arial"/>
          <w:sz w:val="24"/>
          <w:szCs w:val="24"/>
        </w:rPr>
        <w:t xml:space="preserve">cazul </w:t>
      </w:r>
      <w:r>
        <w:rPr>
          <w:rFonts w:ascii="Arial" w:hAnsi="Arial" w:cs="Arial"/>
          <w:sz w:val="24"/>
          <w:szCs w:val="24"/>
        </w:rPr>
        <w:t xml:space="preserve">localităților cu populație mai mică de 1 </w:t>
      </w:r>
      <w:proofErr w:type="spellStart"/>
      <w:r>
        <w:rPr>
          <w:rFonts w:ascii="Arial" w:hAnsi="Arial" w:cs="Arial"/>
          <w:sz w:val="24"/>
          <w:szCs w:val="24"/>
        </w:rPr>
        <w:t>mln</w:t>
      </w:r>
      <w:proofErr w:type="spellEnd"/>
      <w:r>
        <w:rPr>
          <w:rFonts w:ascii="Arial" w:hAnsi="Arial" w:cs="Arial"/>
          <w:sz w:val="24"/>
          <w:szCs w:val="24"/>
        </w:rPr>
        <w:t xml:space="preserve"> locuitori și a sectoarelor orașelor cu o populație mai mare de 1 </w:t>
      </w:r>
      <w:proofErr w:type="spellStart"/>
      <w:r>
        <w:rPr>
          <w:rFonts w:ascii="Arial" w:hAnsi="Arial" w:cs="Arial"/>
          <w:sz w:val="24"/>
          <w:szCs w:val="24"/>
        </w:rPr>
        <w:t>mln</w:t>
      </w:r>
      <w:proofErr w:type="spellEnd"/>
      <w:r>
        <w:rPr>
          <w:rFonts w:ascii="Arial" w:hAnsi="Arial" w:cs="Arial"/>
          <w:sz w:val="24"/>
          <w:szCs w:val="24"/>
        </w:rPr>
        <w:t xml:space="preserve"> locuitori.</w:t>
      </w:r>
    </w:p>
    <w:p w:rsidR="00F52409" w:rsidRPr="00F92506" w:rsidRDefault="00F52409" w:rsidP="00F52409">
      <w:pPr>
        <w:tabs>
          <w:tab w:val="left" w:pos="5827"/>
        </w:tabs>
        <w:jc w:val="right"/>
        <w:rPr>
          <w:rFonts w:ascii="Arial" w:hAnsi="Arial" w:cs="Arial"/>
          <w:sz w:val="24"/>
          <w:szCs w:val="24"/>
        </w:rPr>
      </w:pPr>
      <w:r>
        <w:rPr>
          <w:rFonts w:ascii="Arial" w:hAnsi="Arial" w:cs="Arial"/>
          <w:sz w:val="24"/>
          <w:szCs w:val="24"/>
        </w:rPr>
        <w:t xml:space="preserve">Cu respect, </w:t>
      </w:r>
      <w:r w:rsidRPr="00F92506">
        <w:rPr>
          <w:rFonts w:ascii="Arial" w:hAnsi="Arial" w:cs="Arial"/>
          <w:sz w:val="24"/>
          <w:szCs w:val="24"/>
        </w:rPr>
        <w:t>Valeriu Pașa, expert de politici</w:t>
      </w:r>
    </w:p>
    <w:p w:rsidR="00F52409" w:rsidRPr="00F92506" w:rsidRDefault="00F52409" w:rsidP="00F52409">
      <w:pPr>
        <w:tabs>
          <w:tab w:val="left" w:pos="5827"/>
        </w:tabs>
        <w:jc w:val="right"/>
        <w:rPr>
          <w:rFonts w:ascii="Arial" w:hAnsi="Arial" w:cs="Arial"/>
          <w:sz w:val="24"/>
          <w:szCs w:val="24"/>
        </w:rPr>
      </w:pPr>
      <w:r w:rsidRPr="00F92506">
        <w:rPr>
          <w:rFonts w:ascii="Arial" w:hAnsi="Arial" w:cs="Arial"/>
          <w:sz w:val="24"/>
          <w:szCs w:val="24"/>
        </w:rPr>
        <w:t xml:space="preserve">Comunitatea pentru </w:t>
      </w:r>
      <w:proofErr w:type="spellStart"/>
      <w:r w:rsidRPr="00F92506">
        <w:rPr>
          <w:rFonts w:ascii="Arial" w:hAnsi="Arial" w:cs="Arial"/>
          <w:sz w:val="24"/>
          <w:szCs w:val="24"/>
        </w:rPr>
        <w:t>avocacy</w:t>
      </w:r>
      <w:proofErr w:type="spellEnd"/>
      <w:r w:rsidRPr="00F92506">
        <w:rPr>
          <w:rFonts w:ascii="Arial" w:hAnsi="Arial" w:cs="Arial"/>
          <w:sz w:val="24"/>
          <w:szCs w:val="24"/>
        </w:rPr>
        <w:t xml:space="preserve"> și politici ”</w:t>
      </w:r>
      <w:proofErr w:type="spellStart"/>
      <w:r w:rsidRPr="00F92506">
        <w:rPr>
          <w:rFonts w:ascii="Arial" w:hAnsi="Arial" w:cs="Arial"/>
          <w:sz w:val="24"/>
          <w:szCs w:val="24"/>
        </w:rPr>
        <w:t>WatchDog.MD</w:t>
      </w:r>
      <w:proofErr w:type="spellEnd"/>
      <w:r w:rsidRPr="00F92506">
        <w:rPr>
          <w:rFonts w:ascii="Arial" w:hAnsi="Arial" w:cs="Arial"/>
          <w:sz w:val="24"/>
          <w:szCs w:val="24"/>
        </w:rPr>
        <w:t>”</w:t>
      </w:r>
    </w:p>
    <w:sectPr w:rsidR="00F52409" w:rsidRPr="00F92506">
      <w:head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CD6" w:rsidRDefault="00042CD6" w:rsidP="00D337E8">
      <w:pPr>
        <w:spacing w:after="0" w:line="240" w:lineRule="auto"/>
      </w:pPr>
      <w:r>
        <w:separator/>
      </w:r>
    </w:p>
  </w:endnote>
  <w:endnote w:type="continuationSeparator" w:id="0">
    <w:p w:rsidR="00042CD6" w:rsidRDefault="00042CD6" w:rsidP="00D3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CD6" w:rsidRDefault="00042CD6" w:rsidP="00D337E8">
      <w:pPr>
        <w:spacing w:after="0" w:line="240" w:lineRule="auto"/>
      </w:pPr>
      <w:r>
        <w:separator/>
      </w:r>
    </w:p>
  </w:footnote>
  <w:footnote w:type="continuationSeparator" w:id="0">
    <w:p w:rsidR="00042CD6" w:rsidRDefault="00042CD6" w:rsidP="00D337E8">
      <w:pPr>
        <w:spacing w:after="0" w:line="240" w:lineRule="auto"/>
      </w:pPr>
      <w:r>
        <w:continuationSeparator/>
      </w:r>
    </w:p>
  </w:footnote>
  <w:footnote w:id="1">
    <w:p w:rsidR="001E4F05" w:rsidRDefault="001E4F05">
      <w:pPr>
        <w:pStyle w:val="Textnotdesubsol"/>
      </w:pPr>
      <w:r>
        <w:rPr>
          <w:rStyle w:val="Referinnotdesubsol"/>
        </w:rPr>
        <w:footnoteRef/>
      </w:r>
      <w:r>
        <w:t xml:space="preserve"> </w:t>
      </w:r>
      <w:hyperlink r:id="rId1" w:history="1">
        <w:r w:rsidR="00F92506" w:rsidRPr="004B4ECD">
          <w:rPr>
            <w:rStyle w:val="Hyperlink"/>
          </w:rPr>
          <w:t>http://cec.md/files/files/proiectcomasat-4redactat-1_3134443.pdf</w:t>
        </w:r>
      </w:hyperlink>
      <w:r w:rsidR="00F92506">
        <w:t xml:space="preserve"> </w:t>
      </w:r>
    </w:p>
  </w:footnote>
  <w:footnote w:id="2">
    <w:p w:rsidR="003B4AC4" w:rsidRDefault="003B4AC4">
      <w:pPr>
        <w:pStyle w:val="Textnotdesubsol"/>
      </w:pPr>
      <w:r>
        <w:rPr>
          <w:rStyle w:val="Referinnotdesubsol"/>
        </w:rPr>
        <w:footnoteRef/>
      </w:r>
      <w:r>
        <w:t xml:space="preserve"> </w:t>
      </w:r>
      <w:hyperlink r:id="rId2" w:history="1">
        <w:r w:rsidRPr="004B4ECD">
          <w:rPr>
            <w:rStyle w:val="Hyperlink"/>
          </w:rPr>
          <w:t>http://cec.md/index.php?pag=news&amp;id=1070&amp;rid=20135&amp;l=ro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6" w:rsidRPr="00F92506" w:rsidRDefault="00F92506" w:rsidP="00F92506">
    <w:pPr>
      <w:pStyle w:val="Antet"/>
      <w:jc w:val="center"/>
      <w:rPr>
        <w:rFonts w:ascii="Sylfaen" w:hAnsi="Sylfaen"/>
        <w:sz w:val="24"/>
        <w:szCs w:val="24"/>
      </w:rPr>
    </w:pPr>
    <w:r w:rsidRPr="00F92506">
      <w:rPr>
        <w:rFonts w:ascii="Sylfaen" w:hAnsi="Sylfaen"/>
        <w:sz w:val="24"/>
        <w:szCs w:val="24"/>
      </w:rPr>
      <w:t>A.O. Comunitatea ”</w:t>
    </w:r>
    <w:proofErr w:type="spellStart"/>
    <w:r w:rsidRPr="00F92506">
      <w:rPr>
        <w:rFonts w:ascii="Sylfaen" w:hAnsi="Sylfaen"/>
        <w:sz w:val="24"/>
        <w:szCs w:val="24"/>
      </w:rPr>
      <w:t>WatchDog.MD</w:t>
    </w:r>
    <w:proofErr w:type="spellEnd"/>
    <w:r w:rsidRPr="00F92506">
      <w:rPr>
        <w:rFonts w:ascii="Sylfaen" w:hAnsi="Sylfaen"/>
        <w:sz w:val="24"/>
        <w:szCs w:val="24"/>
      </w:rPr>
      <w:t xml:space="preserve">”, MD 20, Chișinău, str. </w:t>
    </w:r>
    <w:proofErr w:type="spellStart"/>
    <w:r w:rsidRPr="00F92506">
      <w:rPr>
        <w:rFonts w:ascii="Sylfaen" w:hAnsi="Sylfaen"/>
        <w:sz w:val="24"/>
        <w:szCs w:val="24"/>
      </w:rPr>
      <w:t>Șciusev</w:t>
    </w:r>
    <w:proofErr w:type="spellEnd"/>
    <w:r w:rsidRPr="00F92506">
      <w:rPr>
        <w:rFonts w:ascii="Sylfaen" w:hAnsi="Sylfaen"/>
        <w:sz w:val="24"/>
        <w:szCs w:val="24"/>
      </w:rPr>
      <w:t xml:space="preserve"> 68.</w:t>
    </w:r>
  </w:p>
  <w:p w:rsidR="00F92506" w:rsidRPr="00F92506" w:rsidRDefault="00F92506" w:rsidP="00F92506">
    <w:pPr>
      <w:pStyle w:val="Antet"/>
      <w:jc w:val="center"/>
      <w:rPr>
        <w:rFonts w:ascii="Sylfaen" w:hAnsi="Sylfaen"/>
        <w:sz w:val="24"/>
        <w:szCs w:val="24"/>
      </w:rPr>
    </w:pPr>
    <w:r w:rsidRPr="00F92506">
      <w:rPr>
        <w:rFonts w:ascii="Sylfaen" w:hAnsi="Sylfaen"/>
        <w:sz w:val="24"/>
        <w:szCs w:val="24"/>
      </w:rPr>
      <w:t>Tel. +37369258102</w:t>
    </w:r>
  </w:p>
  <w:p w:rsidR="00F92506" w:rsidRPr="00F92506" w:rsidRDefault="00F92506">
    <w:pPr>
      <w:pStyle w:val="Ante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FF3"/>
    <w:multiLevelType w:val="hybridMultilevel"/>
    <w:tmpl w:val="56627386"/>
    <w:lvl w:ilvl="0" w:tplc="8FB0BD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C16AC"/>
    <w:multiLevelType w:val="hybridMultilevel"/>
    <w:tmpl w:val="F44C9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272D8"/>
    <w:multiLevelType w:val="hybridMultilevel"/>
    <w:tmpl w:val="BAF83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453816"/>
    <w:multiLevelType w:val="hybridMultilevel"/>
    <w:tmpl w:val="EBFA90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F5C3F10"/>
    <w:multiLevelType w:val="hybridMultilevel"/>
    <w:tmpl w:val="E54AD996"/>
    <w:lvl w:ilvl="0" w:tplc="805816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56A7DC2"/>
    <w:multiLevelType w:val="hybridMultilevel"/>
    <w:tmpl w:val="1D64D244"/>
    <w:lvl w:ilvl="0" w:tplc="B5B09F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5D"/>
    <w:rsid w:val="00042CD6"/>
    <w:rsid w:val="00057927"/>
    <w:rsid w:val="00060B94"/>
    <w:rsid w:val="00065EA2"/>
    <w:rsid w:val="00066BB6"/>
    <w:rsid w:val="000708AB"/>
    <w:rsid w:val="0008493B"/>
    <w:rsid w:val="000A52A0"/>
    <w:rsid w:val="000B3530"/>
    <w:rsid w:val="00100F7E"/>
    <w:rsid w:val="001022ED"/>
    <w:rsid w:val="00150A91"/>
    <w:rsid w:val="00164B63"/>
    <w:rsid w:val="001662BA"/>
    <w:rsid w:val="00181061"/>
    <w:rsid w:val="001824F7"/>
    <w:rsid w:val="001B1503"/>
    <w:rsid w:val="001C0272"/>
    <w:rsid w:val="001D05A6"/>
    <w:rsid w:val="001E4F05"/>
    <w:rsid w:val="0021356A"/>
    <w:rsid w:val="002B4AA0"/>
    <w:rsid w:val="002D2385"/>
    <w:rsid w:val="002D3380"/>
    <w:rsid w:val="002D3955"/>
    <w:rsid w:val="002E387D"/>
    <w:rsid w:val="00385FCB"/>
    <w:rsid w:val="003B4AC4"/>
    <w:rsid w:val="003C1554"/>
    <w:rsid w:val="003F4C9E"/>
    <w:rsid w:val="004B33C6"/>
    <w:rsid w:val="004D0A63"/>
    <w:rsid w:val="004F7D15"/>
    <w:rsid w:val="005235D4"/>
    <w:rsid w:val="005B750F"/>
    <w:rsid w:val="005C68D4"/>
    <w:rsid w:val="005E0E32"/>
    <w:rsid w:val="005E4677"/>
    <w:rsid w:val="00605059"/>
    <w:rsid w:val="00611C85"/>
    <w:rsid w:val="00613F47"/>
    <w:rsid w:val="00621A59"/>
    <w:rsid w:val="006417AC"/>
    <w:rsid w:val="00681830"/>
    <w:rsid w:val="006F733E"/>
    <w:rsid w:val="00793BB5"/>
    <w:rsid w:val="007B0471"/>
    <w:rsid w:val="007D0C4B"/>
    <w:rsid w:val="007E3480"/>
    <w:rsid w:val="007E72C4"/>
    <w:rsid w:val="00841BDB"/>
    <w:rsid w:val="00867D58"/>
    <w:rsid w:val="00890443"/>
    <w:rsid w:val="008B1F98"/>
    <w:rsid w:val="008B72ED"/>
    <w:rsid w:val="008D45AF"/>
    <w:rsid w:val="008F062A"/>
    <w:rsid w:val="00917119"/>
    <w:rsid w:val="009A323B"/>
    <w:rsid w:val="009C1BEC"/>
    <w:rsid w:val="009F7AB7"/>
    <w:rsid w:val="00A14EA9"/>
    <w:rsid w:val="00A639AB"/>
    <w:rsid w:val="00AB6044"/>
    <w:rsid w:val="00AB6DA9"/>
    <w:rsid w:val="00AF3C64"/>
    <w:rsid w:val="00B442E9"/>
    <w:rsid w:val="00B770A2"/>
    <w:rsid w:val="00BE0769"/>
    <w:rsid w:val="00C05996"/>
    <w:rsid w:val="00C431C8"/>
    <w:rsid w:val="00CB7D58"/>
    <w:rsid w:val="00CE2A2A"/>
    <w:rsid w:val="00D337E8"/>
    <w:rsid w:val="00D60CBE"/>
    <w:rsid w:val="00D632A8"/>
    <w:rsid w:val="00D6785D"/>
    <w:rsid w:val="00DA105D"/>
    <w:rsid w:val="00DB0CCD"/>
    <w:rsid w:val="00DB6A3A"/>
    <w:rsid w:val="00DC20A0"/>
    <w:rsid w:val="00DC4C03"/>
    <w:rsid w:val="00DC58C4"/>
    <w:rsid w:val="00E07CB4"/>
    <w:rsid w:val="00E231B2"/>
    <w:rsid w:val="00E53F34"/>
    <w:rsid w:val="00ED134A"/>
    <w:rsid w:val="00F01719"/>
    <w:rsid w:val="00F134F3"/>
    <w:rsid w:val="00F52409"/>
    <w:rsid w:val="00F92506"/>
    <w:rsid w:val="00FD174E"/>
    <w:rsid w:val="00FD3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Titlu1">
    <w:name w:val="heading 1"/>
    <w:basedOn w:val="Normal"/>
    <w:next w:val="Normal"/>
    <w:link w:val="Titlu1Caracter"/>
    <w:uiPriority w:val="9"/>
    <w:qFormat/>
    <w:rsid w:val="001810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D337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81061"/>
    <w:rPr>
      <w:rFonts w:asciiTheme="majorHAnsi" w:eastAsiaTheme="majorEastAsia" w:hAnsiTheme="majorHAnsi" w:cstheme="majorBidi"/>
      <w:b/>
      <w:bCs/>
      <w:color w:val="365F91" w:themeColor="accent1" w:themeShade="BF"/>
      <w:sz w:val="28"/>
      <w:szCs w:val="28"/>
      <w:lang w:val="ro-RO"/>
    </w:rPr>
  </w:style>
  <w:style w:type="character" w:customStyle="1" w:styleId="Titlu2Caracter">
    <w:name w:val="Titlu 2 Caracter"/>
    <w:basedOn w:val="Fontdeparagrafimplicit"/>
    <w:link w:val="Titlu2"/>
    <w:uiPriority w:val="9"/>
    <w:rsid w:val="00D337E8"/>
    <w:rPr>
      <w:rFonts w:asciiTheme="majorHAnsi" w:eastAsiaTheme="majorEastAsia" w:hAnsiTheme="majorHAnsi" w:cstheme="majorBidi"/>
      <w:b/>
      <w:bCs/>
      <w:color w:val="4F81BD" w:themeColor="accent1"/>
      <w:sz w:val="26"/>
      <w:szCs w:val="26"/>
      <w:lang w:val="ro-RO"/>
    </w:rPr>
  </w:style>
  <w:style w:type="paragraph" w:styleId="Textnotdesubsol">
    <w:name w:val="footnote text"/>
    <w:basedOn w:val="Normal"/>
    <w:link w:val="TextnotdesubsolCaracter"/>
    <w:uiPriority w:val="99"/>
    <w:semiHidden/>
    <w:unhideWhenUsed/>
    <w:rsid w:val="00D337E8"/>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D337E8"/>
    <w:rPr>
      <w:sz w:val="20"/>
      <w:szCs w:val="20"/>
      <w:lang w:val="ro-RO"/>
    </w:rPr>
  </w:style>
  <w:style w:type="character" w:styleId="Referinnotdesubsol">
    <w:name w:val="footnote reference"/>
    <w:basedOn w:val="Fontdeparagrafimplicit"/>
    <w:uiPriority w:val="99"/>
    <w:semiHidden/>
    <w:unhideWhenUsed/>
    <w:rsid w:val="00D337E8"/>
    <w:rPr>
      <w:vertAlign w:val="superscript"/>
    </w:rPr>
  </w:style>
  <w:style w:type="character" w:styleId="Hyperlink">
    <w:name w:val="Hyperlink"/>
    <w:basedOn w:val="Fontdeparagrafimplicit"/>
    <w:uiPriority w:val="99"/>
    <w:unhideWhenUsed/>
    <w:rsid w:val="00D337E8"/>
    <w:rPr>
      <w:color w:val="0000FF" w:themeColor="hyperlink"/>
      <w:u w:val="single"/>
    </w:rPr>
  </w:style>
  <w:style w:type="paragraph" w:styleId="Listparagraf">
    <w:name w:val="List Paragraph"/>
    <w:basedOn w:val="Normal"/>
    <w:uiPriority w:val="34"/>
    <w:qFormat/>
    <w:rsid w:val="007E72C4"/>
    <w:pPr>
      <w:ind w:left="720"/>
      <w:contextualSpacing/>
    </w:pPr>
  </w:style>
  <w:style w:type="character" w:styleId="Referiresubtil">
    <w:name w:val="Subtle Reference"/>
    <w:basedOn w:val="Fontdeparagrafimplicit"/>
    <w:uiPriority w:val="31"/>
    <w:qFormat/>
    <w:rsid w:val="007E72C4"/>
    <w:rPr>
      <w:smallCaps/>
      <w:color w:val="C0504D" w:themeColor="accent2"/>
      <w:u w:val="single"/>
    </w:rPr>
  </w:style>
  <w:style w:type="paragraph" w:styleId="Citatintens">
    <w:name w:val="Intense Quote"/>
    <w:basedOn w:val="Normal"/>
    <w:next w:val="Normal"/>
    <w:link w:val="CitatintensCaracter"/>
    <w:uiPriority w:val="30"/>
    <w:qFormat/>
    <w:rsid w:val="007E72C4"/>
    <w:pPr>
      <w:pBdr>
        <w:bottom w:val="single" w:sz="4" w:space="4" w:color="4F81BD" w:themeColor="accent1"/>
      </w:pBdr>
      <w:spacing w:before="200" w:after="280"/>
      <w:ind w:left="936" w:right="936"/>
    </w:pPr>
    <w:rPr>
      <w:b/>
      <w:bCs/>
      <w:i/>
      <w:iCs/>
      <w:color w:val="4F81BD" w:themeColor="accent1"/>
    </w:rPr>
  </w:style>
  <w:style w:type="character" w:customStyle="1" w:styleId="CitatintensCaracter">
    <w:name w:val="Citat intens Caracter"/>
    <w:basedOn w:val="Fontdeparagrafimplicit"/>
    <w:link w:val="Citatintens"/>
    <w:uiPriority w:val="30"/>
    <w:rsid w:val="007E72C4"/>
    <w:rPr>
      <w:b/>
      <w:bCs/>
      <w:i/>
      <w:iCs/>
      <w:color w:val="4F81BD" w:themeColor="accent1"/>
      <w:lang w:val="ro-RO"/>
    </w:rPr>
  </w:style>
  <w:style w:type="paragraph" w:styleId="Antet">
    <w:name w:val="header"/>
    <w:basedOn w:val="Normal"/>
    <w:link w:val="AntetCaracter"/>
    <w:uiPriority w:val="99"/>
    <w:unhideWhenUsed/>
    <w:rsid w:val="00F92506"/>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F92506"/>
    <w:rPr>
      <w:lang w:val="ro-RO"/>
    </w:rPr>
  </w:style>
  <w:style w:type="paragraph" w:styleId="Subsol">
    <w:name w:val="footer"/>
    <w:basedOn w:val="Normal"/>
    <w:link w:val="SubsolCaracter"/>
    <w:uiPriority w:val="99"/>
    <w:unhideWhenUsed/>
    <w:rsid w:val="00F92506"/>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F92506"/>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Titlu1">
    <w:name w:val="heading 1"/>
    <w:basedOn w:val="Normal"/>
    <w:next w:val="Normal"/>
    <w:link w:val="Titlu1Caracter"/>
    <w:uiPriority w:val="9"/>
    <w:qFormat/>
    <w:rsid w:val="001810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D337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81061"/>
    <w:rPr>
      <w:rFonts w:asciiTheme="majorHAnsi" w:eastAsiaTheme="majorEastAsia" w:hAnsiTheme="majorHAnsi" w:cstheme="majorBidi"/>
      <w:b/>
      <w:bCs/>
      <w:color w:val="365F91" w:themeColor="accent1" w:themeShade="BF"/>
      <w:sz w:val="28"/>
      <w:szCs w:val="28"/>
      <w:lang w:val="ro-RO"/>
    </w:rPr>
  </w:style>
  <w:style w:type="character" w:customStyle="1" w:styleId="Titlu2Caracter">
    <w:name w:val="Titlu 2 Caracter"/>
    <w:basedOn w:val="Fontdeparagrafimplicit"/>
    <w:link w:val="Titlu2"/>
    <w:uiPriority w:val="9"/>
    <w:rsid w:val="00D337E8"/>
    <w:rPr>
      <w:rFonts w:asciiTheme="majorHAnsi" w:eastAsiaTheme="majorEastAsia" w:hAnsiTheme="majorHAnsi" w:cstheme="majorBidi"/>
      <w:b/>
      <w:bCs/>
      <w:color w:val="4F81BD" w:themeColor="accent1"/>
      <w:sz w:val="26"/>
      <w:szCs w:val="26"/>
      <w:lang w:val="ro-RO"/>
    </w:rPr>
  </w:style>
  <w:style w:type="paragraph" w:styleId="Textnotdesubsol">
    <w:name w:val="footnote text"/>
    <w:basedOn w:val="Normal"/>
    <w:link w:val="TextnotdesubsolCaracter"/>
    <w:uiPriority w:val="99"/>
    <w:semiHidden/>
    <w:unhideWhenUsed/>
    <w:rsid w:val="00D337E8"/>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D337E8"/>
    <w:rPr>
      <w:sz w:val="20"/>
      <w:szCs w:val="20"/>
      <w:lang w:val="ro-RO"/>
    </w:rPr>
  </w:style>
  <w:style w:type="character" w:styleId="Referinnotdesubsol">
    <w:name w:val="footnote reference"/>
    <w:basedOn w:val="Fontdeparagrafimplicit"/>
    <w:uiPriority w:val="99"/>
    <w:semiHidden/>
    <w:unhideWhenUsed/>
    <w:rsid w:val="00D337E8"/>
    <w:rPr>
      <w:vertAlign w:val="superscript"/>
    </w:rPr>
  </w:style>
  <w:style w:type="character" w:styleId="Hyperlink">
    <w:name w:val="Hyperlink"/>
    <w:basedOn w:val="Fontdeparagrafimplicit"/>
    <w:uiPriority w:val="99"/>
    <w:unhideWhenUsed/>
    <w:rsid w:val="00D337E8"/>
    <w:rPr>
      <w:color w:val="0000FF" w:themeColor="hyperlink"/>
      <w:u w:val="single"/>
    </w:rPr>
  </w:style>
  <w:style w:type="paragraph" w:styleId="Listparagraf">
    <w:name w:val="List Paragraph"/>
    <w:basedOn w:val="Normal"/>
    <w:uiPriority w:val="34"/>
    <w:qFormat/>
    <w:rsid w:val="007E72C4"/>
    <w:pPr>
      <w:ind w:left="720"/>
      <w:contextualSpacing/>
    </w:pPr>
  </w:style>
  <w:style w:type="character" w:styleId="Referiresubtil">
    <w:name w:val="Subtle Reference"/>
    <w:basedOn w:val="Fontdeparagrafimplicit"/>
    <w:uiPriority w:val="31"/>
    <w:qFormat/>
    <w:rsid w:val="007E72C4"/>
    <w:rPr>
      <w:smallCaps/>
      <w:color w:val="C0504D" w:themeColor="accent2"/>
      <w:u w:val="single"/>
    </w:rPr>
  </w:style>
  <w:style w:type="paragraph" w:styleId="Citatintens">
    <w:name w:val="Intense Quote"/>
    <w:basedOn w:val="Normal"/>
    <w:next w:val="Normal"/>
    <w:link w:val="CitatintensCaracter"/>
    <w:uiPriority w:val="30"/>
    <w:qFormat/>
    <w:rsid w:val="007E72C4"/>
    <w:pPr>
      <w:pBdr>
        <w:bottom w:val="single" w:sz="4" w:space="4" w:color="4F81BD" w:themeColor="accent1"/>
      </w:pBdr>
      <w:spacing w:before="200" w:after="280"/>
      <w:ind w:left="936" w:right="936"/>
    </w:pPr>
    <w:rPr>
      <w:b/>
      <w:bCs/>
      <w:i/>
      <w:iCs/>
      <w:color w:val="4F81BD" w:themeColor="accent1"/>
    </w:rPr>
  </w:style>
  <w:style w:type="character" w:customStyle="1" w:styleId="CitatintensCaracter">
    <w:name w:val="Citat intens Caracter"/>
    <w:basedOn w:val="Fontdeparagrafimplicit"/>
    <w:link w:val="Citatintens"/>
    <w:uiPriority w:val="30"/>
    <w:rsid w:val="007E72C4"/>
    <w:rPr>
      <w:b/>
      <w:bCs/>
      <w:i/>
      <w:iCs/>
      <w:color w:val="4F81BD" w:themeColor="accent1"/>
      <w:lang w:val="ro-RO"/>
    </w:rPr>
  </w:style>
  <w:style w:type="paragraph" w:styleId="Antet">
    <w:name w:val="header"/>
    <w:basedOn w:val="Normal"/>
    <w:link w:val="AntetCaracter"/>
    <w:uiPriority w:val="99"/>
    <w:unhideWhenUsed/>
    <w:rsid w:val="00F92506"/>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F92506"/>
    <w:rPr>
      <w:lang w:val="ro-RO"/>
    </w:rPr>
  </w:style>
  <w:style w:type="paragraph" w:styleId="Subsol">
    <w:name w:val="footer"/>
    <w:basedOn w:val="Normal"/>
    <w:link w:val="SubsolCaracter"/>
    <w:uiPriority w:val="99"/>
    <w:unhideWhenUsed/>
    <w:rsid w:val="00F92506"/>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F92506"/>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registrare.cec.md/Statistics" TargetMode="External"/><Relationship Id="rId4" Type="http://schemas.microsoft.com/office/2007/relationships/stylesWithEffects" Target="stylesWithEffects.xml"/><Relationship Id="rId9" Type="http://schemas.openxmlformats.org/officeDocument/2006/relationships/hyperlink" Target="https://inregistrare.cec.m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cec.md/index.php?pag=news&amp;id=1070&amp;rid=20135&amp;l=ro" TargetMode="External"/><Relationship Id="rId1" Type="http://schemas.openxmlformats.org/officeDocument/2006/relationships/hyperlink" Target="http://cec.md/files/files/proiectcomasat-4redactat-1_3134443.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E92F8-3634-4B9C-BB21-7404F560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919</Words>
  <Characters>5241</Characters>
  <Application>Microsoft Office Word</Application>
  <DocSecurity>0</DocSecurity>
  <Lines>43</Lines>
  <Paragraphs>12</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 Ionescu</dc:creator>
  <cp:lastModifiedBy>Ion Ionescu</cp:lastModifiedBy>
  <cp:revision>38</cp:revision>
  <cp:lastPrinted>2017-07-03T13:02:00Z</cp:lastPrinted>
  <dcterms:created xsi:type="dcterms:W3CDTF">2017-04-10T11:47:00Z</dcterms:created>
  <dcterms:modified xsi:type="dcterms:W3CDTF">2017-07-03T13:02:00Z</dcterms:modified>
</cp:coreProperties>
</file>